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318" w:rsidRDefault="005C72E2" w:rsidP="000C5C25">
      <w:pPr>
        <w:spacing w:after="0"/>
        <w:jc w:val="center"/>
        <w:rPr>
          <w:b/>
          <w:color w:val="3B6B27"/>
          <w:sz w:val="40"/>
          <w:szCs w:val="40"/>
        </w:rPr>
      </w:pPr>
      <w:r w:rsidRPr="00A34B96">
        <w:rPr>
          <w:rFonts w:asciiTheme="majorHAnsi" w:eastAsiaTheme="minorHAnsi" w:hAnsiTheme="majorHAnsi" w:cstheme="majorHAnsi"/>
          <w:b/>
          <w:color w:val="3B6B27"/>
          <w:sz w:val="40"/>
          <w:szCs w:val="40"/>
        </w:rPr>
        <w:t>3RP 2017-2018 PLANNIN</w:t>
      </w:r>
      <w:r w:rsidR="007D3339" w:rsidRPr="007D3339">
        <w:rPr>
          <w:b/>
          <w:noProof/>
          <w:color w:val="3B6B27"/>
          <w:sz w:val="40"/>
          <w:szCs w:val="40"/>
          <w:lang w:val="en-GB" w:eastAsia="en-GB"/>
        </w:rPr>
        <w:drawing>
          <wp:anchor distT="0" distB="0" distL="114300" distR="114300" simplePos="0" relativeHeight="251658240" behindDoc="0" locked="0" layoutInCell="1" allowOverlap="1" wp14:anchorId="7BE6E3E9" wp14:editId="63C24D51">
            <wp:simplePos x="0" y="0"/>
            <wp:positionH relativeFrom="column">
              <wp:posOffset>4871720</wp:posOffset>
            </wp:positionH>
            <wp:positionV relativeFrom="paragraph">
              <wp:posOffset>-505460</wp:posOffset>
            </wp:positionV>
            <wp:extent cx="1508125" cy="978535"/>
            <wp:effectExtent l="0" t="0" r="0" b="0"/>
            <wp:wrapNone/>
            <wp:docPr id="1" name="Picture 1" descr="C:\Users\padilha\Desktop\Rui\UN Logos\3RP 2017\3RP (2017-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dilha\Desktop\Rui\UN Logos\3RP 2017\3RP (2017-201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8125" cy="9785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HAnsi" w:eastAsiaTheme="minorHAnsi" w:hAnsiTheme="majorHAnsi" w:cstheme="majorHAnsi"/>
          <w:b/>
          <w:color w:val="3B6B27"/>
          <w:sz w:val="40"/>
          <w:szCs w:val="40"/>
        </w:rPr>
        <w:t>G</w:t>
      </w:r>
      <w:r>
        <w:rPr>
          <w:rFonts w:asciiTheme="majorHAnsi" w:eastAsiaTheme="minorHAnsi" w:hAnsiTheme="majorHAnsi" w:cstheme="majorHAnsi"/>
          <w:b/>
          <w:color w:val="3B6B27"/>
          <w:sz w:val="40"/>
          <w:szCs w:val="40"/>
        </w:rPr>
        <w:br/>
      </w:r>
      <w:r w:rsidR="00A36318" w:rsidRPr="007D3339">
        <w:rPr>
          <w:b/>
          <w:color w:val="3B6B27"/>
          <w:sz w:val="40"/>
          <w:szCs w:val="40"/>
        </w:rPr>
        <w:t>GUIDANCE NOTE</w:t>
      </w:r>
      <w:r w:rsidR="00C847A4" w:rsidRPr="007D3339">
        <w:rPr>
          <w:b/>
          <w:color w:val="3B6B27"/>
          <w:sz w:val="40"/>
          <w:szCs w:val="40"/>
        </w:rPr>
        <w:t xml:space="preserve"> </w:t>
      </w:r>
      <w:r w:rsidR="000C5C25">
        <w:rPr>
          <w:b/>
          <w:color w:val="3B6B27"/>
          <w:sz w:val="40"/>
          <w:szCs w:val="40"/>
        </w:rPr>
        <w:t>8</w:t>
      </w:r>
    </w:p>
    <w:p w:rsidR="00B231BC" w:rsidRPr="005C72E2" w:rsidRDefault="00B231BC" w:rsidP="00A36318">
      <w:pPr>
        <w:spacing w:after="0"/>
        <w:jc w:val="center"/>
        <w:rPr>
          <w:b/>
          <w:color w:val="3B6B27"/>
          <w:sz w:val="12"/>
          <w:szCs w:val="12"/>
        </w:rPr>
      </w:pPr>
    </w:p>
    <w:p w:rsidR="00B231BC" w:rsidRPr="005C72E2" w:rsidRDefault="000C5C25" w:rsidP="000C5C25">
      <w:pPr>
        <w:spacing w:after="0"/>
        <w:jc w:val="center"/>
        <w:rPr>
          <w:b/>
          <w:color w:val="9AC31C"/>
          <w:sz w:val="20"/>
          <w:szCs w:val="20"/>
        </w:rPr>
      </w:pPr>
      <w:r w:rsidRPr="000C5C25">
        <w:rPr>
          <w:b/>
          <w:color w:val="9AC31C"/>
          <w:sz w:val="32"/>
          <w:szCs w:val="32"/>
        </w:rPr>
        <w:t>A</w:t>
      </w:r>
      <w:r>
        <w:rPr>
          <w:b/>
          <w:color w:val="9AC31C"/>
          <w:sz w:val="32"/>
          <w:szCs w:val="32"/>
        </w:rPr>
        <w:t>ddressing Gender-Based Violence and Protection from Sexual Exploitation and Abuse</w:t>
      </w:r>
    </w:p>
    <w:p w:rsidR="000C5C25" w:rsidRDefault="000C5C25" w:rsidP="00A36318">
      <w:pPr>
        <w:spacing w:after="0" w:line="240" w:lineRule="auto"/>
        <w:jc w:val="both"/>
        <w:rPr>
          <w:rFonts w:cs="Calibri"/>
        </w:rPr>
      </w:pPr>
    </w:p>
    <w:p w:rsidR="000C5C25" w:rsidRPr="000C5C25" w:rsidRDefault="000C5C25" w:rsidP="000C5C25">
      <w:pPr>
        <w:spacing w:after="120" w:line="240" w:lineRule="auto"/>
        <w:jc w:val="lowKashida"/>
        <w:rPr>
          <w:rFonts w:ascii="Calibri Light" w:hAnsi="Calibri Light" w:cs="Calibri"/>
          <w:b/>
          <w:bCs/>
          <w:color w:val="3B6B27"/>
          <w:sz w:val="28"/>
          <w:szCs w:val="28"/>
        </w:rPr>
      </w:pPr>
      <w:r w:rsidRPr="000C5C25">
        <w:rPr>
          <w:rFonts w:ascii="Calibri Light" w:hAnsi="Calibri Light" w:cs="Calibri"/>
          <w:b/>
          <w:bCs/>
          <w:color w:val="3B6B27"/>
          <w:sz w:val="28"/>
          <w:szCs w:val="28"/>
        </w:rPr>
        <w:t>Addressing Gender-based Violence</w:t>
      </w:r>
    </w:p>
    <w:p w:rsidR="000C5C25" w:rsidRPr="000C5C25" w:rsidRDefault="000C5C25" w:rsidP="000C5C25">
      <w:pPr>
        <w:spacing w:after="120" w:line="240" w:lineRule="auto"/>
        <w:jc w:val="lowKashida"/>
        <w:rPr>
          <w:rFonts w:cs="Calibri"/>
        </w:rPr>
      </w:pPr>
      <w:r w:rsidRPr="000C5C25">
        <w:rPr>
          <w:rFonts w:cs="Calibri"/>
        </w:rPr>
        <w:t xml:space="preserve">Women, girls, boys and men face increased risks and multiple forms of gender-based violence (GBV) as a result of the conflict and displacement. Thousands of female and male survivors of GBV continue to receive multi-sectoral, multi-level and survivor-centered protection and assistance including through specialized services, within the framework of the 3RP response. </w:t>
      </w:r>
    </w:p>
    <w:p w:rsidR="000C5C25" w:rsidRPr="000C5C25" w:rsidRDefault="000C5C25" w:rsidP="000C5C25">
      <w:pPr>
        <w:spacing w:after="120" w:line="240" w:lineRule="auto"/>
        <w:jc w:val="lowKashida"/>
        <w:rPr>
          <w:rFonts w:cs="Calibri"/>
        </w:rPr>
      </w:pPr>
      <w:r w:rsidRPr="000C5C25">
        <w:rPr>
          <w:rFonts w:cs="Calibri"/>
        </w:rPr>
        <w:t xml:space="preserve">All humanitarian actors must be aware of the causes and consequences of GBV and prioritize interventions to prevent and mitigate the risks in their respective sectors, including those related to trafficking, forced and early marriage and sexual exploitation and abuse. Programming is also needed to address the protection needs of LGBTI, older refugees and refugees with disabilities and support their access to quality services. A survivor-centered approach should be employed for SGBV prevention and response programming, respecting key guiding principles for caring for survivors of GBV so that no further harm is caused unintentionally through these </w:t>
      </w:r>
      <w:proofErr w:type="spellStart"/>
      <w:r w:rsidRPr="000C5C25">
        <w:rPr>
          <w:rFonts w:cs="Calibri"/>
        </w:rPr>
        <w:t>programmes</w:t>
      </w:r>
      <w:proofErr w:type="spellEnd"/>
      <w:r w:rsidRPr="000C5C25">
        <w:rPr>
          <w:rFonts w:cs="Calibri"/>
        </w:rPr>
        <w:t xml:space="preserve">. All collected data on GBV have to be disaggregated by sex and age to inform gender sensitive programming addressing the needs of all beneficiaries with diverse background.  </w:t>
      </w:r>
      <w:bookmarkStart w:id="0" w:name="_GoBack"/>
      <w:bookmarkEnd w:id="0"/>
    </w:p>
    <w:p w:rsidR="000C5C25" w:rsidRPr="000C5C25" w:rsidRDefault="000C5C25" w:rsidP="000C5C25">
      <w:pPr>
        <w:spacing w:after="120" w:line="240" w:lineRule="auto"/>
        <w:jc w:val="lowKashida"/>
        <w:rPr>
          <w:rFonts w:cs="Calibri"/>
        </w:rPr>
      </w:pPr>
      <w:r w:rsidRPr="000C5C25">
        <w:rPr>
          <w:rFonts w:cs="Calibri"/>
        </w:rPr>
        <w:t xml:space="preserve">The revised 2015 IASC Guidelines for Integrating Gender-Based Violence Interventions in Humanitarian Action provide essential prevention and mitigation activities that should be undertaken within and across all sectors of humanitarian response. All sectors operating within the 3RP are asked to download, review and use the 2015 IASC Guidelines, with particular attention to the individual Thematic Area Guidance relevant to their agency’s operational role, to mainstream GBV prevention and response in 3RP across all sectors: </w:t>
      </w:r>
      <w:hyperlink r:id="rId9" w:history="1">
        <w:r w:rsidRPr="005F1C33">
          <w:rPr>
            <w:rStyle w:val="Hyperlink"/>
            <w:rFonts w:cs="Calibri"/>
          </w:rPr>
          <w:t>www.gbvguidelines.org</w:t>
        </w:r>
      </w:hyperlink>
      <w:r w:rsidRPr="000C5C25">
        <w:rPr>
          <w:rFonts w:cs="Calibri"/>
        </w:rPr>
        <w:t xml:space="preserve">. </w:t>
      </w:r>
    </w:p>
    <w:p w:rsidR="000C5C25" w:rsidRPr="000C5C25" w:rsidRDefault="000C5C25" w:rsidP="000C5C25">
      <w:pPr>
        <w:spacing w:after="120" w:line="240" w:lineRule="auto"/>
        <w:jc w:val="lowKashida"/>
        <w:rPr>
          <w:rFonts w:cs="Calibri"/>
        </w:rPr>
      </w:pPr>
      <w:r w:rsidRPr="000C5C25">
        <w:rPr>
          <w:rFonts w:cs="Calibri"/>
        </w:rPr>
        <w:t>The 2015 IASC Guidelines include specific guidance on GBV prevention and response for each thematic area that falls under the 3RP, including: Camp coordination and Camp Management; Child Protection; Education; Food Security; Health; Livelihoods; Nutrition; Protection; Shelter; and Water, Sanitation and Hygiene (WASH). In addition, specialized guidance on GBV prevention and response has been developed for other sectors, including Settlement and Recovery, Humanitarian Mine Action, and Humanitarian Operation Support.</w:t>
      </w:r>
    </w:p>
    <w:p w:rsidR="000C5C25" w:rsidRPr="000C5C25" w:rsidRDefault="000C5C25" w:rsidP="000C5C25">
      <w:pPr>
        <w:spacing w:after="120" w:line="240" w:lineRule="auto"/>
        <w:jc w:val="lowKashida"/>
        <w:rPr>
          <w:rFonts w:cs="Calibri"/>
          <w:b/>
          <w:bCs/>
          <w:color w:val="3B6B27"/>
        </w:rPr>
      </w:pPr>
      <w:r w:rsidRPr="000C5C25">
        <w:rPr>
          <w:rFonts w:cs="Calibri"/>
          <w:b/>
          <w:bCs/>
          <w:color w:val="3B6B27"/>
        </w:rPr>
        <w:t>Protection from Sexual Exploitation and Abuse by personnel of the UN, NGOs and other humanitarian agencies and international organizations</w:t>
      </w:r>
    </w:p>
    <w:p w:rsidR="000C5C25" w:rsidRPr="000C5C25" w:rsidRDefault="000C5C25" w:rsidP="000C5C25">
      <w:pPr>
        <w:spacing w:after="120" w:line="240" w:lineRule="auto"/>
        <w:jc w:val="lowKashida"/>
        <w:rPr>
          <w:rFonts w:cs="Calibri"/>
        </w:rPr>
      </w:pPr>
      <w:r w:rsidRPr="000C5C25">
        <w:rPr>
          <w:rFonts w:cs="Calibri"/>
        </w:rPr>
        <w:t xml:space="preserve">As a core element of GBV prevention and response, 3RP partners must act in concert to prevent and respond to sexual exploitation and abuse by humanitarian personnel. Key activities may include developing agency-specific strategies and SOPs to prevent and respond to sexual exploitation and abuse, identifying PSEA focal points, providing training for personnel and have them sign a code of conduct, preventing the recruitment or redeployment of perpetrators of sexual exploitation and abuse; developing and maintaining complaint mechanisms that are accessible to beneficiaries; strengthening multi-sectoral and survivor-centered response to SEA; taking appropriate measures to protect victims or whistle-blowers from retaliation; investigating SEA allegations in a timely and professional manner and taking swift and appropriate administrative or disciplinary action; engaging the support of communities and governments to PSEA. </w:t>
      </w:r>
    </w:p>
    <w:p w:rsidR="0030088C" w:rsidRPr="00A36318" w:rsidRDefault="000C5C25" w:rsidP="000C5C25">
      <w:pPr>
        <w:spacing w:after="120" w:line="240" w:lineRule="auto"/>
        <w:jc w:val="lowKashida"/>
        <w:rPr>
          <w:rFonts w:cs="Calibri"/>
        </w:rPr>
      </w:pPr>
      <w:r w:rsidRPr="000C5C25">
        <w:rPr>
          <w:rFonts w:cs="Calibri"/>
        </w:rPr>
        <w:t xml:space="preserve">For more information on the subject of protection from sexual exploitation and abuse by personnel of the UN, NGOs and other humanitarian agencies and international organizations, please consult </w:t>
      </w:r>
      <w:hyperlink r:id="rId10" w:history="1">
        <w:r w:rsidRPr="005F1C33">
          <w:rPr>
            <w:rStyle w:val="Hyperlink"/>
            <w:rFonts w:cs="Calibri"/>
          </w:rPr>
          <w:t>http://www.pseataskforce.org/</w:t>
        </w:r>
      </w:hyperlink>
      <w:r>
        <w:rPr>
          <w:rFonts w:cs="Calibri"/>
        </w:rPr>
        <w:t xml:space="preserve">.  </w:t>
      </w:r>
    </w:p>
    <w:sectPr w:rsidR="0030088C" w:rsidRPr="00A36318" w:rsidSect="005C72E2">
      <w:headerReference w:type="even" r:id="rId11"/>
      <w:headerReference w:type="default" r:id="rId12"/>
      <w:footerReference w:type="even" r:id="rId13"/>
      <w:footerReference w:type="default" r:id="rId14"/>
      <w:headerReference w:type="first" r:id="rId15"/>
      <w:footerReference w:type="first" r:id="rId16"/>
      <w:pgSz w:w="11907" w:h="16839" w:code="9"/>
      <w:pgMar w:top="568" w:right="1440" w:bottom="56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71BF" w:rsidRDefault="00DB71BF" w:rsidP="00DA1F76">
      <w:pPr>
        <w:spacing w:after="0" w:line="240" w:lineRule="auto"/>
      </w:pPr>
      <w:r>
        <w:separator/>
      </w:r>
    </w:p>
  </w:endnote>
  <w:endnote w:type="continuationSeparator" w:id="0">
    <w:p w:rsidR="00DB71BF" w:rsidRDefault="00DB71BF" w:rsidP="00DA1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87" w:rsidRDefault="003C00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87" w:rsidRDefault="003C008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87" w:rsidRDefault="003C00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71BF" w:rsidRDefault="00DB71BF" w:rsidP="00DA1F76">
      <w:pPr>
        <w:spacing w:after="0" w:line="240" w:lineRule="auto"/>
      </w:pPr>
      <w:r>
        <w:separator/>
      </w:r>
    </w:p>
  </w:footnote>
  <w:footnote w:type="continuationSeparator" w:id="0">
    <w:p w:rsidR="00DB71BF" w:rsidRDefault="00DB71BF" w:rsidP="00DA1F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87" w:rsidRDefault="003C008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87" w:rsidRDefault="003C00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87" w:rsidRDefault="003C00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7B50169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DF754A0"/>
    <w:multiLevelType w:val="multilevel"/>
    <w:tmpl w:val="AB5C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28F"/>
    <w:rsid w:val="000279C0"/>
    <w:rsid w:val="00084CCE"/>
    <w:rsid w:val="000C5C25"/>
    <w:rsid w:val="000F6869"/>
    <w:rsid w:val="001977EA"/>
    <w:rsid w:val="002A24CB"/>
    <w:rsid w:val="002C4D26"/>
    <w:rsid w:val="002E5FAC"/>
    <w:rsid w:val="0030088C"/>
    <w:rsid w:val="00397820"/>
    <w:rsid w:val="003A5C4F"/>
    <w:rsid w:val="003B628F"/>
    <w:rsid w:val="003C0087"/>
    <w:rsid w:val="005C72E2"/>
    <w:rsid w:val="00612724"/>
    <w:rsid w:val="00632324"/>
    <w:rsid w:val="00674802"/>
    <w:rsid w:val="007546D5"/>
    <w:rsid w:val="007D3339"/>
    <w:rsid w:val="007D4DAB"/>
    <w:rsid w:val="00891BBF"/>
    <w:rsid w:val="00946E49"/>
    <w:rsid w:val="00A36318"/>
    <w:rsid w:val="00A5731A"/>
    <w:rsid w:val="00B231BC"/>
    <w:rsid w:val="00B67D8A"/>
    <w:rsid w:val="00C216C3"/>
    <w:rsid w:val="00C847A4"/>
    <w:rsid w:val="00CF30E4"/>
    <w:rsid w:val="00D77186"/>
    <w:rsid w:val="00DA1F76"/>
    <w:rsid w:val="00DB71BF"/>
    <w:rsid w:val="00DF7FA5"/>
    <w:rsid w:val="00EC598F"/>
    <w:rsid w:val="00F5745C"/>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6"/>
    <o:shapelayout v:ext="edit">
      <o:idmap v:ext="edit" data="1"/>
    </o:shapelayout>
  </w:shapeDefaults>
  <w:decimalSymbol w:val="."/>
  <w:listSeparator w:val=","/>
  <w15:docId w15:val="{781B49F2-8D6A-4709-A9F7-BA427ACAD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946E49"/>
    <w:rPr>
      <w:b/>
      <w:bCs/>
    </w:rPr>
  </w:style>
  <w:style w:type="paragraph" w:customStyle="1" w:styleId="bleubig">
    <w:name w:val="bleubig"/>
    <w:basedOn w:val="Normal"/>
    <w:rsid w:val="00946E49"/>
    <w:pPr>
      <w:spacing w:before="100" w:beforeAutospacing="1" w:after="100" w:afterAutospacing="1" w:line="240" w:lineRule="auto"/>
    </w:pPr>
    <w:rPr>
      <w:rFonts w:ascii="Times New Roman" w:eastAsia="Times New Roman" w:hAnsi="Times New Roman"/>
      <w:sz w:val="24"/>
      <w:szCs w:val="24"/>
      <w:lang w:val="en-GB" w:eastAsia="en-GB"/>
    </w:rPr>
  </w:style>
  <w:style w:type="paragraph" w:styleId="Header">
    <w:name w:val="header"/>
    <w:basedOn w:val="Normal"/>
    <w:link w:val="HeaderChar"/>
    <w:uiPriority w:val="99"/>
    <w:unhideWhenUsed/>
    <w:rsid w:val="00DA1F76"/>
    <w:pPr>
      <w:tabs>
        <w:tab w:val="center" w:pos="4320"/>
        <w:tab w:val="right" w:pos="8640"/>
      </w:tabs>
    </w:pPr>
  </w:style>
  <w:style w:type="character" w:customStyle="1" w:styleId="HeaderChar">
    <w:name w:val="Header Char"/>
    <w:link w:val="Header"/>
    <w:uiPriority w:val="99"/>
    <w:rsid w:val="00DA1F76"/>
    <w:rPr>
      <w:sz w:val="22"/>
      <w:szCs w:val="22"/>
      <w:lang w:val="en-US"/>
    </w:rPr>
  </w:style>
  <w:style w:type="paragraph" w:styleId="Footer">
    <w:name w:val="footer"/>
    <w:basedOn w:val="Normal"/>
    <w:link w:val="FooterChar"/>
    <w:uiPriority w:val="99"/>
    <w:unhideWhenUsed/>
    <w:rsid w:val="00DA1F76"/>
    <w:pPr>
      <w:tabs>
        <w:tab w:val="center" w:pos="4320"/>
        <w:tab w:val="right" w:pos="8640"/>
      </w:tabs>
    </w:pPr>
  </w:style>
  <w:style w:type="character" w:customStyle="1" w:styleId="FooterChar">
    <w:name w:val="Footer Char"/>
    <w:link w:val="Footer"/>
    <w:uiPriority w:val="99"/>
    <w:rsid w:val="00DA1F76"/>
    <w:rPr>
      <w:sz w:val="22"/>
      <w:szCs w:val="22"/>
      <w:lang w:val="en-US"/>
    </w:rPr>
  </w:style>
  <w:style w:type="character" w:styleId="CommentReference">
    <w:name w:val="annotation reference"/>
    <w:basedOn w:val="DefaultParagraphFont"/>
    <w:uiPriority w:val="99"/>
    <w:semiHidden/>
    <w:unhideWhenUsed/>
    <w:rsid w:val="003C0087"/>
    <w:rPr>
      <w:sz w:val="16"/>
      <w:szCs w:val="16"/>
    </w:rPr>
  </w:style>
  <w:style w:type="paragraph" w:styleId="CommentText">
    <w:name w:val="annotation text"/>
    <w:basedOn w:val="Normal"/>
    <w:link w:val="CommentTextChar"/>
    <w:uiPriority w:val="99"/>
    <w:semiHidden/>
    <w:unhideWhenUsed/>
    <w:rsid w:val="003C0087"/>
    <w:rPr>
      <w:sz w:val="20"/>
      <w:szCs w:val="20"/>
    </w:rPr>
  </w:style>
  <w:style w:type="character" w:customStyle="1" w:styleId="CommentTextChar">
    <w:name w:val="Comment Text Char"/>
    <w:basedOn w:val="DefaultParagraphFont"/>
    <w:link w:val="CommentText"/>
    <w:uiPriority w:val="99"/>
    <w:semiHidden/>
    <w:rsid w:val="003C0087"/>
    <w:rPr>
      <w:lang w:val="en-US" w:eastAsia="en-US"/>
    </w:rPr>
  </w:style>
  <w:style w:type="paragraph" w:styleId="CommentSubject">
    <w:name w:val="annotation subject"/>
    <w:basedOn w:val="CommentText"/>
    <w:next w:val="CommentText"/>
    <w:link w:val="CommentSubjectChar"/>
    <w:uiPriority w:val="99"/>
    <w:semiHidden/>
    <w:unhideWhenUsed/>
    <w:rsid w:val="003C0087"/>
    <w:rPr>
      <w:b/>
      <w:bCs/>
    </w:rPr>
  </w:style>
  <w:style w:type="character" w:customStyle="1" w:styleId="CommentSubjectChar">
    <w:name w:val="Comment Subject Char"/>
    <w:basedOn w:val="CommentTextChar"/>
    <w:link w:val="CommentSubject"/>
    <w:uiPriority w:val="99"/>
    <w:semiHidden/>
    <w:rsid w:val="003C0087"/>
    <w:rPr>
      <w:b/>
      <w:bCs/>
      <w:lang w:val="en-US" w:eastAsia="en-US"/>
    </w:rPr>
  </w:style>
  <w:style w:type="paragraph" w:styleId="BalloonText">
    <w:name w:val="Balloon Text"/>
    <w:basedOn w:val="Normal"/>
    <w:link w:val="BalloonTextChar"/>
    <w:uiPriority w:val="99"/>
    <w:semiHidden/>
    <w:unhideWhenUsed/>
    <w:rsid w:val="003C00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0087"/>
    <w:rPr>
      <w:rFonts w:ascii="Tahoma" w:hAnsi="Tahoma" w:cs="Tahoma"/>
      <w:sz w:val="16"/>
      <w:szCs w:val="16"/>
      <w:lang w:val="en-US" w:eastAsia="en-US"/>
    </w:rPr>
  </w:style>
  <w:style w:type="character" w:styleId="Hyperlink">
    <w:name w:val="Hyperlink"/>
    <w:basedOn w:val="DefaultParagraphFont"/>
    <w:uiPriority w:val="99"/>
    <w:unhideWhenUsed/>
    <w:rsid w:val="000C5C2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102836">
      <w:bodyDiv w:val="1"/>
      <w:marLeft w:val="0"/>
      <w:marRight w:val="0"/>
      <w:marTop w:val="0"/>
      <w:marBottom w:val="0"/>
      <w:divBdr>
        <w:top w:val="none" w:sz="0" w:space="0" w:color="auto"/>
        <w:left w:val="none" w:sz="0" w:space="0" w:color="auto"/>
        <w:bottom w:val="none" w:sz="0" w:space="0" w:color="auto"/>
        <w:right w:val="none" w:sz="0" w:space="0" w:color="auto"/>
      </w:divBdr>
    </w:div>
    <w:div w:id="154225307">
      <w:bodyDiv w:val="1"/>
      <w:marLeft w:val="0"/>
      <w:marRight w:val="0"/>
      <w:marTop w:val="0"/>
      <w:marBottom w:val="0"/>
      <w:divBdr>
        <w:top w:val="none" w:sz="0" w:space="0" w:color="auto"/>
        <w:left w:val="none" w:sz="0" w:space="0" w:color="auto"/>
        <w:bottom w:val="none" w:sz="0" w:space="0" w:color="auto"/>
        <w:right w:val="none" w:sz="0" w:space="0" w:color="auto"/>
      </w:divBdr>
    </w:div>
    <w:div w:id="20113707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seataskforce.org/" TargetMode="External"/><Relationship Id="rId4" Type="http://schemas.openxmlformats.org/officeDocument/2006/relationships/settings" Target="settings.xml"/><Relationship Id="rId9" Type="http://schemas.openxmlformats.org/officeDocument/2006/relationships/hyperlink" Target="http://www.gbvguidelines.or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3ED7A-2731-408E-AADF-739BBE409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587</Words>
  <Characters>3238</Characters>
  <Application>Microsoft Office Word</Application>
  <DocSecurity>0</DocSecurity>
  <Lines>101</Lines>
  <Paragraphs>35</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3790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UNHCRuser</dc:creator>
  <cp:lastModifiedBy>Rui Padilha</cp:lastModifiedBy>
  <cp:revision>12</cp:revision>
  <cp:lastPrinted>2015-08-31T09:10:00Z</cp:lastPrinted>
  <dcterms:created xsi:type="dcterms:W3CDTF">2015-08-31T06:38:00Z</dcterms:created>
  <dcterms:modified xsi:type="dcterms:W3CDTF">2016-09-07T11:31:00Z</dcterms:modified>
</cp:coreProperties>
</file>